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6" w:rsidRDefault="00AC5B26" w:rsidP="00AC5B26">
      <w:pPr>
        <w:pStyle w:val="1"/>
        <w:numPr>
          <w:ilvl w:val="0"/>
          <w:numId w:val="0"/>
        </w:numPr>
        <w:jc w:val="right"/>
        <w:rPr>
          <w:rFonts w:eastAsiaTheme="majorEastAsia"/>
          <w:b w:val="0"/>
        </w:rPr>
      </w:pPr>
      <w:bookmarkStart w:id="0" w:name="_Toc504748591"/>
      <w:bookmarkStart w:id="1" w:name="_Toc504750174"/>
      <w:bookmarkStart w:id="2" w:name="_Toc12035762"/>
      <w:bookmarkStart w:id="3" w:name="_GoBack"/>
      <w:bookmarkEnd w:id="3"/>
      <w:r w:rsidRPr="00AC5B26">
        <w:rPr>
          <w:rFonts w:eastAsiaTheme="majorEastAsia"/>
          <w:b w:val="0"/>
        </w:rPr>
        <w:t xml:space="preserve">Приложение </w:t>
      </w:r>
    </w:p>
    <w:p w:rsidR="00AC5B26" w:rsidRPr="00AC5B26" w:rsidRDefault="00AC5B26" w:rsidP="00AC5B26">
      <w:pPr>
        <w:rPr>
          <w:rFonts w:eastAsiaTheme="majorEastAsia"/>
        </w:rPr>
      </w:pPr>
    </w:p>
    <w:p w:rsidR="00AC5B26" w:rsidRPr="000E67B8" w:rsidRDefault="00AC5B26" w:rsidP="00AC5B26">
      <w:pPr>
        <w:pStyle w:val="1"/>
        <w:numPr>
          <w:ilvl w:val="0"/>
          <w:numId w:val="0"/>
        </w:numPr>
        <w:jc w:val="center"/>
        <w:rPr>
          <w:rFonts w:eastAsiaTheme="majorEastAsia"/>
        </w:rPr>
      </w:pPr>
      <w:r>
        <w:rPr>
          <w:rFonts w:eastAsiaTheme="majorEastAsia"/>
        </w:rPr>
        <w:t>П</w:t>
      </w:r>
      <w:r w:rsidRPr="000E67B8">
        <w:rPr>
          <w:rFonts w:eastAsiaTheme="majorEastAsia"/>
        </w:rPr>
        <w:t>роверочны</w:t>
      </w:r>
      <w:r>
        <w:rPr>
          <w:rFonts w:eastAsiaTheme="majorEastAsia"/>
        </w:rPr>
        <w:t>й</w:t>
      </w:r>
      <w:r w:rsidRPr="000E67B8">
        <w:rPr>
          <w:rFonts w:eastAsiaTheme="majorEastAsia"/>
        </w:rPr>
        <w:t xml:space="preserve"> спис</w:t>
      </w:r>
      <w:r>
        <w:rPr>
          <w:rFonts w:eastAsiaTheme="majorEastAsia"/>
        </w:rPr>
        <w:t>о</w:t>
      </w:r>
      <w:r w:rsidRPr="000E67B8">
        <w:rPr>
          <w:rFonts w:eastAsiaTheme="majorEastAsia"/>
        </w:rPr>
        <w:t>к (чек-лист) для выявления административных барьеров</w:t>
      </w:r>
      <w:bookmarkEnd w:id="0"/>
      <w:bookmarkEnd w:id="1"/>
      <w:bookmarkEnd w:id="2"/>
    </w:p>
    <w:p w:rsidR="00AC5B26" w:rsidRPr="003F1A55" w:rsidRDefault="00AC5B26" w:rsidP="00AC5B26">
      <w:pPr>
        <w:pStyle w:val="a6"/>
        <w:spacing w:after="120" w:line="240" w:lineRule="auto"/>
        <w:rPr>
          <w:rFonts w:ascii="Times New Roman" w:eastAsiaTheme="majorEastAsia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6602"/>
        <w:gridCol w:w="2196"/>
      </w:tblGrid>
      <w:tr w:rsidR="00AC5B26" w:rsidRPr="003F1A55" w:rsidTr="00484C4B">
        <w:trPr>
          <w:trHeight w:val="931"/>
          <w:tblHeader/>
        </w:trPr>
        <w:tc>
          <w:tcPr>
            <w:tcW w:w="404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>Проверочный вопрос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Присутствие/ учет фактора (характеристики) </w:t>
            </w: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Совершены ли следующие организационные действия, обеспечивающие формирование системы выявления и снижения административных барьеров для негосударственных поставщиков услуг в социальной сфере?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Обеспечен сбор информации от негосударственных поставщиков услуг в социальной сфере, позволяющий зафиксировать типичные проблемы, затрудняющие их разумное и результативное привлечение к оказанию услуг.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Проведены циклы совещаний с уполномоченными органами в социальной сфере, территориальными управлениями заинтересованных федеральных органов исполнительной власти, представителями научных, общественных и экспертных организаций.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 ходе совещаний подготовлены ли предложения по решению выявленных проблем в типичных ситуациях, оптимизации осуществления разрешительных и контрольно-надзорных полномочий, реорганизации административных процедур, в том числе по внесению изменений в законодательные и подзаконные нормативные правовые акты.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 отраслях социальной сферы выявлена успешная практика, которая может быть распространена на иные отрасли и ситуации взаимодействия негосударственных поставщиков с органами власти по поводу оказания услуг в социальной сфере.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На основе подготовленных предложений при участии рабочих групп сформированы планы-графики их реализации, устанавливающие в том числе: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44256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>5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.1.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сроки принятия законодательных и подзаконных нормативных правовых актов, разработки и внедрения иных механизмов снижения или снятия бюрократических барьеров;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44256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>5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.2.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ответственные органы и лица;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442564" w:rsidP="00F3011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1.5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.3.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вклады и формы вовлечения  в разработку и внедрение предложенных мер представителей экспертных 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общественных организаций, предпринимательских объединений, общественных палат и советов, отдельных негосударственных поставщиков услуг в социальной сфере, а также организаций по защите прав потребителей и получателей услуг в социальной сфере.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При формировании организационных структур и проведении шагов по снятию административных 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 xml:space="preserve">барьеров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учтено существование имеющихся органов, занимающихся отдельными элементами дебюрократизации: региональный совет по развитию предпринимательства при губернаторе региона, Уполномоченный по правам предпринимателей, проектные офисы для реализации отдельных пилотных проектов в отраслях социальной сферы, сформированные на предыдущем этапе, тематические рабочие группы по реализации стандарта конкуренции, экспертные группы по внедрению инвестиционного стандарта и т.п.: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CC48B3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CC48B3">
              <w:rPr>
                <w:rFonts w:ascii="Times New Roman" w:eastAsiaTheme="majorEastAsia" w:hAnsi="Times New Roman"/>
                <w:sz w:val="24"/>
                <w:szCs w:val="24"/>
              </w:rPr>
              <w:t>6.1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проводятся совместные совещания рабочих групп с принятием общих решений;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CC48B3" w:rsidP="00CC48B3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1.6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2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вопросы снижения барьеров в деятельности негосударственных поставщиков услуг в социальной сфере включены в планы деятельности соответствующих органов и рабочих групп.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821D4E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Принимаемые рабочими группами, иными органамирешения, планы деятельности и результаты их реализации  по снижению административных барьеров отражаются на портале единой автоматизированной информационной системы поддержки 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 xml:space="preserve">социально ориентированных некоммерческих организаций (далее –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СОНКО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)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и портале поддержки субъектов 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МСП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)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в регионе.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047C2A" w:rsidRDefault="00047C2A" w:rsidP="00047C2A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Регулярно проводится мониторинг реализации принятых решений.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047C2A" w:rsidRDefault="00047C2A" w:rsidP="00047C2A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 рамках реализации в субъекте Российской Федерации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рассмотрены вопросы распространения требований стандарта на деятельность по обеспечению инвестиций в социальную сферу региона.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Содержит ли </w:t>
            </w:r>
            <w:r w:rsidR="00596BB1">
              <w:rPr>
                <w:rFonts w:ascii="Times New Roman" w:eastAsiaTheme="majorEastAsia" w:hAnsi="Times New Roman"/>
                <w:sz w:val="24"/>
                <w:szCs w:val="24"/>
              </w:rPr>
              <w:t xml:space="preserve">государственная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программа </w:t>
            </w:r>
            <w:r w:rsidR="00596BB1">
              <w:rPr>
                <w:rFonts w:ascii="Times New Roman" w:eastAsiaTheme="majorEastAsia" w:hAnsi="Times New Roman"/>
                <w:sz w:val="24"/>
                <w:szCs w:val="24"/>
              </w:rPr>
              <w:t xml:space="preserve">Иркутской области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меры по снижению административных барьеров для СОНКО?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Вовлечены ли в деятельность по преодолению административных барьеров в деятельности СОНКО ресурсные центры поддержки СОНКО?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Вовлечены ли в деятельность по преодолению административных барьеров в деятельности социальных предпринимателей Центры инноваций в социальной сфере?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Вовлечены ли в выявление проблемных процедур и административных барьеров следующие значимые группы?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9B4780" w:rsidRDefault="00596BB1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СО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НКО, представители малого и среднего бизнеса, индивидуальные предприниматели, ведущие или предполагающие ведение деятельности по оказанию услуг в социальной сфере, а также их объединения;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 и некоммерческие организации, защищающие интересы групп населения – получателей услуг в социальной сфере;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объединения, СОНКО, экспертные организации, имеющие опыт исследования, анализа и оценки административных барьеров в социальной сфере и в иных отраслях экономики;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организации и объединения, защищающие права и интересы СОНКО, субъектов МСП.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522A15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СО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НКО, представители малого и среднего бизнеса, индивидуальные предприниматели, ведущие или предполагающие ведение деятельности по оказанию услуг в социальной сфере, а также их объединения;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 и некоммерческие организации, защищающие интересы групп населения – получателей услуг в социальной сфере;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Иные референтные группы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9E42B9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Выявлены ли в ходе анализа процедуры или требования НПА проблемы, которые являются источниками увеличения издержек негосударственным поставщиком?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недостаток информации или ее асимметричность (непонятность, запутанность информации, ее отсутствие или недоступность, в т.ч. предоставление информации в неудобном виде и т.п.);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избыточность требований в НПА;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плохо организованный административный процесс, сложный и запутанный процесс согласования (подготовки) к входу в процедуру;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недостаток места размещения процедуры (нет «одного окна», невозможность прохождения этапов процедуры дистанционным способом, отсутствует межведомственное взаимодействие, в этапах решения участвуют неуполномоченные субъекты и т.п.);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недостаток времени (длительность процедур оплаты, несвоевременность предъявления требования и т.п.);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оппортунистическое поведение вовлеченных государственных и муниципальных служащих («отлынивание», бездействие или вымогательство в виде перенесения издержек административного действия на негосударственного поставщика);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отсутствие (размывание) прозрачных требований (процедура исполняется «как заведено», без формальной фиксации – и поэтому сложна для новичка), наличие избыточных возможностей принятия решения исключительно в зависимости от усмотрения государственных (муниципальных) служащих;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6.8.</w:t>
            </w:r>
          </w:p>
        </w:tc>
        <w:tc>
          <w:tcPr>
            <w:tcW w:w="3448" w:type="pct"/>
          </w:tcPr>
          <w:p w:rsidR="00AC5B26" w:rsidRPr="003F1A55" w:rsidRDefault="00522A15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иные.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Выявлены ли в ходе оценки предпринимателями и сотрудниками СОНКО следующие характеристики, свидетельствующие наличии барьеров во взаимодействии с органами государственной власти и местного самоуправления?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Субъективная качественная оценка предпринимателями и сотрудниками СОНКО прохождения процедур и соблюдения требований законодательства как очень сложных. Оценка сложности с приведением примеров конкретной ситуации, сопровождаемой конкретными количественными расчетами понесенных затрат из-за сложности процедур: например, времени сотрудников, транспортных и иных расходов на неоднократное посещение, неоднократное повторение одних и тех же этапов процедуры, подачи и возвращения документов и т.п.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Субъективная качественная оценка негосударственными поставщиками отсутствия (или противоречивости) устойчивых процедур, правил, инструкций и требований, вследствие чего, по их мнению, они находятся в неравном положении с государственными (муниципальными)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учреждениями или иными категориями поставщиков, либо сталкиваются с усмотрением государственных (муниципальных) служащих.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9B4780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Неудовлетворительность временем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, которое поставщик услуг в социальной сфере вынужден тратить на прохождение процедур и соблюдения требований законодательства, включая высокую длительность совокупности предписанных процедур, сверхнормативное затягивание решения, слишком короткие сроки получения необходимых к предоставлению сведений и документов и т.п.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Отмеченные ли как несоразмерные/избыточные/несвоевременные следующие затраты денежных средств: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официальные платежи, связанные с оплатой пошлин, получением квитанции, нотариальных заверений и т.д.;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6A640C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оплата понесенных издержек и времени работников МСП и СОНКО, которые было потрачено для соблюдения требований законодательства и прохождения бюрократических процедур;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оплата услуг специализированных консалтинговых фирм и организаций-посредников, которые были привлечены бизнесом или СОНКО для прохождения той или иной процедуры;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6A640C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упоминаемые как опыт неформальных платежей (платежи, которые не могут быть отнесены к себестоимости, целевой характер которых будет трудно доказать контролирующим органам и т.п.), которые МСП и СОНКО вынуждены сделать, чтобы пройти какую-либо процедуру.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 w:themeFill="background1" w:themeFillShade="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 w:themeFill="background1" w:themeFillShade="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Проводился ли анализ законодательства и практики регулирования деятельности негосударственных поставщиков, процедур из взаимодействий с уполномоченными органами в сравнении с другими регионами и имеющейся в них успешной практикой.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Запрашивались ли и получены ли в ходе анализа процедуры взаимодействия негосударственных поставщиков услуг в социальной сфере с уполномоченными органами сведения, выявляющие проблемный характер таких процедур взаимодействия?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Имеются ли документы, которые, по мнению негосударственных поставщиков, не влияют на качество, объём и прочие характеристики услуг, но их требуют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государственные и муниципальные органы (учреждения)?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документы, которые не предоставляют иные субъекты оказания услуг (подведомственные учреждения по сравнению с негосударственными организациями, некоммерческие организации по сравнению с коммерческими или ИП, расположенные в городе по сравнению с расположенными с сельской местности)?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нерациональные (бессмысленные) затраты, которые возникают по требованию государственных и муниципальных органов (учреждений)?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периоды ожидания решений государственных или муниципальных органов, когда деятельность негосударственного поставщика затруднена?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Приходится ли получать документы в одном государственном или муниципальном органе (учреждении) и относить их в другой?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ситуации, когда государственный или муниципальный орган (учреждение) произвольно решает, разрешить что-то или нет?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ситуации, когда государственный или муниципальный орган (учреждение) может навязать поставщиков или покупателей, повлиять на цену, сроки или иные условия договоров?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проблемы со своевременным получением полной и достоверной информации от государственных и муниципальных органов (учреждений)?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Затрудняют ли проверки деятельность по оказанию услуг? В чем это выражается?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FFFFF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FFFFF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Возникают ли постоянно новые требования со стороны государственных и муниципальных органов (учреждений)?</w:t>
            </w:r>
          </w:p>
        </w:tc>
        <w:tc>
          <w:tcPr>
            <w:tcW w:w="1147" w:type="pct"/>
            <w:shd w:val="clear" w:color="auto" w:fill="FFFFFF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дублирование функций разных государственных или муниципальных органов, в результате которой возникают противоречивые требования?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проблемы в доступе к потребителям услуги?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чётко определённые сроки действия различных разрешений и согласований?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Всегда ли возможно электронное взаимодействие с государственным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и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или муниципальными органами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(организациями)?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Является ли отчётность неизменной, имеются ли случаи требования специальных разовых отчётов?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Является ли отчётность неизбыточной, связанной только с характеристиками услуги?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Имеется ли система оповещения государственными или муниципальными органами негосударственных поставщиков об изменении законодательства, правил и процедур?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Имеется ли возможность обратиться в государственный или муниципальный орган с предложением об оптимизации процедур, упрощения правил и реально повлиять на них 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неурегулированные законодательством сферы, где государственные и муниципальные органы (учреждения) стараются ничего не делать, или где их действия носят характер усмотрений?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Иное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</w:tbl>
    <w:p w:rsidR="00F00963" w:rsidRDefault="00F00963"/>
    <w:sectPr w:rsidR="00F00963" w:rsidSect="00543C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94" w:rsidRDefault="00C96694" w:rsidP="00AC5B26">
      <w:pPr>
        <w:spacing w:after="0" w:line="240" w:lineRule="auto"/>
      </w:pPr>
      <w:r>
        <w:separator/>
      </w:r>
    </w:p>
  </w:endnote>
  <w:endnote w:type="continuationSeparator" w:id="0">
    <w:p w:rsidR="00C96694" w:rsidRDefault="00C96694" w:rsidP="00A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94" w:rsidRDefault="00C96694" w:rsidP="00AC5B26">
      <w:pPr>
        <w:spacing w:after="0" w:line="240" w:lineRule="auto"/>
      </w:pPr>
      <w:r>
        <w:separator/>
      </w:r>
    </w:p>
  </w:footnote>
  <w:footnote w:type="continuationSeparator" w:id="0">
    <w:p w:rsidR="00C96694" w:rsidRDefault="00C96694" w:rsidP="00AC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8798"/>
      <w:docPartObj>
        <w:docPartGallery w:val="Page Numbers (Top of Page)"/>
        <w:docPartUnique/>
      </w:docPartObj>
    </w:sdtPr>
    <w:sdtEndPr/>
    <w:sdtContent>
      <w:p w:rsidR="00543CC8" w:rsidRDefault="00C9669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CC8" w:rsidRDefault="00543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B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D95F8A"/>
    <w:multiLevelType w:val="hybridMultilevel"/>
    <w:tmpl w:val="E6365CD0"/>
    <w:lvl w:ilvl="0" w:tplc="120EF4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4D6A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0D9DC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2906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E4CF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8DFE6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25F3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CDF1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05D42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26"/>
    <w:rsid w:val="00047C2A"/>
    <w:rsid w:val="001541C7"/>
    <w:rsid w:val="002C7773"/>
    <w:rsid w:val="003B4D3A"/>
    <w:rsid w:val="003D3A9C"/>
    <w:rsid w:val="00442564"/>
    <w:rsid w:val="00467887"/>
    <w:rsid w:val="00484C4B"/>
    <w:rsid w:val="004D250D"/>
    <w:rsid w:val="00522A15"/>
    <w:rsid w:val="0054294E"/>
    <w:rsid w:val="00543CC8"/>
    <w:rsid w:val="00596BB1"/>
    <w:rsid w:val="006A640C"/>
    <w:rsid w:val="007C3517"/>
    <w:rsid w:val="00821D4E"/>
    <w:rsid w:val="008704F7"/>
    <w:rsid w:val="009B4780"/>
    <w:rsid w:val="009E42B9"/>
    <w:rsid w:val="00A05EA6"/>
    <w:rsid w:val="00A46CD5"/>
    <w:rsid w:val="00A53307"/>
    <w:rsid w:val="00AC5B26"/>
    <w:rsid w:val="00BE1557"/>
    <w:rsid w:val="00C96694"/>
    <w:rsid w:val="00CC48B3"/>
    <w:rsid w:val="00D90DEF"/>
    <w:rsid w:val="00F0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6"/>
    <w:pPr>
      <w:spacing w:after="106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5B26"/>
    <w:pPr>
      <w:keepNext/>
      <w:keepLines/>
      <w:numPr>
        <w:numId w:val="1"/>
      </w:numPr>
      <w:spacing w:after="102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2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note text"/>
    <w:basedOn w:val="a"/>
    <w:link w:val="a4"/>
    <w:uiPriority w:val="99"/>
    <w:rsid w:val="00AC5B2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Theme="minorEastAsia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C5B26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AC5B26"/>
    <w:rPr>
      <w:rFonts w:cs="Times New Roman"/>
      <w:vertAlign w:val="superscript"/>
    </w:rPr>
  </w:style>
  <w:style w:type="paragraph" w:customStyle="1" w:styleId="a6">
    <w:name w:val="Основной текст отчета"/>
    <w:basedOn w:val="a"/>
    <w:link w:val="a7"/>
    <w:rsid w:val="00AC5B26"/>
    <w:pPr>
      <w:spacing w:after="200" w:line="276" w:lineRule="auto"/>
      <w:ind w:firstLine="0"/>
      <w:jc w:val="left"/>
    </w:pPr>
    <w:rPr>
      <w:rFonts w:ascii="Calibri" w:eastAsiaTheme="minorEastAsia" w:hAnsi="Calibri"/>
      <w:color w:val="auto"/>
      <w:sz w:val="22"/>
    </w:rPr>
  </w:style>
  <w:style w:type="character" w:customStyle="1" w:styleId="a7">
    <w:name w:val="Основной текст отчета Знак"/>
    <w:link w:val="a6"/>
    <w:locked/>
    <w:rsid w:val="00AC5B26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8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4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9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54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94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Аксененко</dc:creator>
  <cp:lastModifiedBy>user</cp:lastModifiedBy>
  <cp:revision>2</cp:revision>
  <cp:lastPrinted>2019-07-12T01:52:00Z</cp:lastPrinted>
  <dcterms:created xsi:type="dcterms:W3CDTF">2019-09-11T02:42:00Z</dcterms:created>
  <dcterms:modified xsi:type="dcterms:W3CDTF">2019-09-11T02:42:00Z</dcterms:modified>
</cp:coreProperties>
</file>