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7" w:rsidRPr="001717F7" w:rsidRDefault="001717F7" w:rsidP="001717F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ПАМЯТКА ПО ПРОВЕДЕНИЮ АНТИКОРРУПЦИОННОЙ ЭКСПЕРТИЗЫ МУНИЦИПАЛЬНЫХ НОРМАТИВНЫХ ПРАВОВЫХ АКТОВ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Рекомендуется начинать проведение антикоррупционной экспертизы с определения </w:t>
      </w:r>
      <w:proofErr w:type="gramStart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компетентности</w:t>
      </w:r>
      <w:proofErr w:type="gramEnd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принявшего акт органа местного самоуправления.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первую очередь рекомендуется определить,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законами, законами субъектов Российской Федерации, уставом муниципального образования.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определении компетенции следует иметь 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ввиду</w:t>
      </w:r>
      <w:proofErr w:type="gram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что 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</w:t>
      </w:r>
      <w:proofErr w:type="gram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соответствии со статьей 2 Федерального закона № 131-ФЗ «Об общих принципах организации местного самоуправления в Российской Федерации» (далее – Федеральный закон № 131-ФЗ) муниципальные правовые акты могут приниматься: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непосредственно населением муниципального образования по вопросам местного значения;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б) органами местного самоуправления и (или) должностными лицами местного самоуправления -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самоуправления.</w:t>
      </w:r>
      <w:proofErr w:type="gramEnd"/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соответствии с частями 3, 4 и 6 статьи 43 Федерального закона № 131-ФЗ полномочия органов местного самоуправления определяются федеральными законами, законами субъектов Российской Федерации, уставами муниципальных образований.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Во вторую очередь рекомендуется определить, к компетенции какого именно из органов местного самоуправления (в соответствии со структурой и полномочиями органов местного самоуправления, определенными уставом муниципального образования) относится регулирование правоотношений.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Например, в соответствии с пунктом 5 части 10 статьи 35 Федерального закона № 131-ФЗ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имуществом. Принятие конкретных решений по вопросам управления и распоряжения им относится к исполнительно-распорядительным полномочиям органов местного самоуправления, которые реализует местная администрация.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 третью очередь необходимо определить пределы правового регулирования органов местного самоуправления в рамках данных правоотношений (как правило, они отражены в преамбуле акта).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>Разграничение полномочий между различными уровнями публичной власти осуществляется в соответствии с законом.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В соответствии со ст. 56 Федерального закона от 06.10.2003 № 131-ФЗ вопросы введения и использования средств самообложения граждан решаются на местном референдуме (сходе граждан).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Порядок проведения местного референдума в соответствии с частью 10 статьи 22 Федерального закона устанавливаются федеральным законом и принимаемыми в соответствии с ним законами субъектов Российской Федерации.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Следовательно, органы местного самоуправления по вопросам самообложения могут принимать лишь акты организационного характера.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актами, регулирующими правоотношения в определенной сфере.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учитывать, что принятие двух и более актов, регулирующих одни и те же правоотношения, способно привести к возможности применения любого из указанных актов «на выбор», то есть по усмотрению органов (должностных лиц) местного самоуправления, что само по себе порождает возможность проявления коррупционных проявлений.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Пример: правила благоустройства, утверждаемые представительным органом местного самоуправления, в которые включается глава о правилах проведения земляных работ либо правилах уборки территорий и правила проведения земляных работ (правила уборки территорий) в виде отдельного правового акта местной администрации.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Далее следует переходить к непосредственному анализу </w:t>
      </w:r>
      <w:proofErr w:type="spellStart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(антикоррупционной экспертизе) нормативного правового акта.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Для обеспечения обоснованности, объективности и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проверяемости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заключении по результатам антикоррупционной экспертизы указываются конкретные нормы нормативного правового акта или положения проекта нормативного правового акта, содержащие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факторы, указанные в Методике, и предложены способы их устранения.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Это может быть общий вывод о необходимости внесения изменений и (или) дополнений в нормативный правовой акт, вывод о необходимости отмены нормативного правового акта, об отклонении или доработке проекта нормативного правового акта.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lastRenderedPageBreak/>
        <w:t xml:space="preserve">При этом допустимо предлагать конкретные изменения и дополнения, а также антикоррупционные формулировки норм с тем, чтобы разъяснить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анализируемых норм.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Также в заключении по результатам антикоррупционной экспертизы могут быть даны рекомендации по включению в те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кст пр</w:t>
      </w:r>
      <w:proofErr w:type="gram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евентивных (предупреждающих) антикоррупционных норм.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Последним этапом антикоррупционной экспертизы является принятие мер по ее результатам.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С</w:t>
      </w: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ab/>
        <w:t>оставленное по результатам антикоррупционной экспертизы заключение направляется в орган местного самоуправления, принявший нормативный правовой акт либо орган (структурное подразделение, ответственное за разработку проекта муниципального нормативного правового акта).</w:t>
      </w:r>
      <w:proofErr w:type="gramEnd"/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При этом необходимо помнить, что в соответствии с частью 5 статьи 3 Федерального закона от 17.07.2009 № 172-ФЗ «Об антикоррупционной экспертизе нормативных правовых актов и проектов нормативных правовых актов»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коррупциогенных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факторов, принятие 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мер</w:t>
      </w:r>
      <w:proofErr w:type="gram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u w:val="single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 xml:space="preserve">Перечень и примеры типичных </w:t>
      </w:r>
      <w:proofErr w:type="spellStart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>коррупциогенных</w:t>
      </w:r>
      <w:proofErr w:type="spellEnd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  <w:lang w:eastAsia="ru-RU"/>
        </w:rPr>
        <w:t xml:space="preserve"> факторов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1717F7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1717F7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 факторы, устанавливающие для </w:t>
      </w:r>
      <w:proofErr w:type="spellStart"/>
      <w:r w:rsidRPr="001717F7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>правоприменителя</w:t>
      </w:r>
      <w:proofErr w:type="spellEnd"/>
      <w:r w:rsidRPr="001717F7">
        <w:rPr>
          <w:rFonts w:ascii="Times New Roman" w:eastAsia="Times New Roman" w:hAnsi="Times New Roman" w:cs="Times New Roman"/>
          <w:bCs/>
          <w:color w:val="0E2F43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Дискреционные полномочия – совокупность прав и обязанностей органов местного самоуправления, их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решения либо возможность выбора по своему усмотрению одного из нескольких вариантов решений.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сузить до минимума возможность свободного усмотрения должностных лиц органов местного самоуправления, а при установлении права выбора точно определить условия и основания принятия того или иного решения.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Семьям, имеющим трех и более несовершеннолетних детей, предоставляются льготы по оплате за содержание ребенка в МОУ в размере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не более 10%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затрат на содержание ребенка в МОУ при предоставлении подтверждающих документов.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2) определение компетенции по формуле «вправе» - диспозитивное установление возможности совершения органами государственной </w:t>
      </w: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власти или органами местного самоуправления (их должностными лицами) действий в отношении граждан и организаций.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Необходимо помнить, что в теории административного права компетенция органа местного самоуправления понимается через единство прав и обязанностей, то есть они неразрывно связаны. Разделение прав и обязанностей в формулах «вправе», «может» создает иллюзию того, что в определенных случаях можно использовать полномочие как право (то есть не осуществлять его).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«1.5.1. Конечными результатами предоставления муниципальной услуги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proofErr w:type="gramStart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  <w:proofErr w:type="gramEnd"/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«1.5.2. Процедура предоставления услуги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может завершаться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путем:»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«1.6.1. Потребителями результатов предоставления муниципальной услуги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могут являться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:»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3)</w:t>
      </w: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Коррупционно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опасным является любое изменение объема прав заявителя, процедура реализации которых ставится в зависимость от уполномоченной стороны (установление запретов или ограничений, либо, напротив, исключений и предоставление преимуществ, привилегий).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 «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Резерв формируется на основе результатов соответствующих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отборочных мероприятий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Основанием для включения в Резерв являются: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а) для муниципальных служащих муниципального образования: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аттестационной комиссии,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б) для государственного гражданского служащего –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государственного органа;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самоуправления, руководителя структурного подразделения органа местного самоуправления;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в) для гражданина: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 рекомендация конкурсной комиссии по проведению конкурса на замещение вакантной должности муниципальной службы, в котором гражданин принимал участие, но не победил;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рекомендация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руководителя органа местного самоуправления; руководителя структурного подразделения органа местного самоуправления;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-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представление кадровой службы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муниципального образования.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lastRenderedPageBreak/>
        <w:t>4)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proofErr w:type="gramStart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Постановление администрации «О порядке признания безнадежными к взысканию и списания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 (в соответствии с пунктом 5 статьи 59 Налогового кодекса РФ порядок списания недоимки и задолженности по пеням и штрафам, признанных безнадежными к</w:t>
      </w:r>
      <w:proofErr w:type="gramEnd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взысканию, а также перечень документов, подтверждающих обстоятельства, предусмотренные пунктом 1 данной статьи, утверждаются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Такой порядок утвержден приказом Федеральной налоговой службы от 19.08.2010 № ЯК-7-8/393@).</w:t>
      </w:r>
      <w:proofErr w:type="gramEnd"/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5)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В целях исключения данного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коррупциогенного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не утверждены и не действуют административные регламенты по ряду муниципальных услуг.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6) отказ от конкурсных (аукционных) процедур - закрепление административного порядка предоставления права (блага).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Снижению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коррупциогенности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способствует использование специальных процедур, именуемых в гражданском праве «торги» (аукционы и конкурсы).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 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«Решение о передаче недвижимого имущества, находящегося в собственности муниципального образования «город Фатеж», в безвозмездное пользование принимается Собранием депутатов муниципального образования, решение о передаче в аренду муниципального имущества принимает администрация города».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(</w:t>
      </w:r>
      <w:proofErr w:type="gramStart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в</w:t>
      </w:r>
      <w:proofErr w:type="gramEnd"/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 xml:space="preserve"> соответствии с ч. 1 ст.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договоров, за исключением предоставления указанных прав на такое имущество в случаях, указанных в пунктах 1-13 данной части).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proofErr w:type="spellStart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Коррупциогенные</w:t>
      </w:r>
      <w:proofErr w:type="spellEnd"/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 xml:space="preserve"> факторы, содержащие неопределенные, трудновыполнимые и (или) обременительные требования к гражданам и организациям: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Условия (требования), необходимые для реализации субъектом своего права либо исполнения обязанности, обременительны настолько, что превышают уровень разумного. Проявляется при реализации разрешительных и регистрационных полномочий.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Как правило, обнаружить данный фактор в формулировке требований к заявителю можно при анализе оснований для отказа в совершении действия, приема документов. </w:t>
      </w:r>
      <w:proofErr w:type="spell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Коррупциогенность</w:t>
      </w:r>
      <w:proofErr w:type="spell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повышается, если перечень оснований для отказа: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а) открытый, то есть не исчерпывающий;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б) содержит ссылки к основаниям для отказа, 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установленном</w:t>
      </w:r>
      <w:proofErr w:type="gramEnd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в других актах;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в)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</w:t>
      </w: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: </w:t>
      </w:r>
      <w:proofErr w:type="gramStart"/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«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Предоставление муниципальной услуги осуществляется на основании следующих документов: технический паспорт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(по данным на день обращения),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</w:t>
      </w: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с указанием износа основных элементов и строения в целом либо технического состояния отдельного помещения, о котором возбуждается ходатайство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(в случае, если переводимое помещение является жилым)</w:t>
      </w: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(пунктом 3 части 2 статьи 23 Жилищного кодекса РФ содержится требование о предоставлении технического паспорта помещения).</w:t>
      </w:r>
      <w:proofErr w:type="gramEnd"/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 К заявлению прилагаются следующие документы: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Cs/>
          <w:i/>
          <w:iCs/>
          <w:color w:val="0E2F43"/>
          <w:sz w:val="28"/>
          <w:szCs w:val="28"/>
          <w:lang w:eastAsia="ru-RU"/>
        </w:rPr>
        <w:t>- при необходимости иные документы.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lang w:eastAsia="ru-RU"/>
        </w:rP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717F7" w:rsidRPr="001717F7" w:rsidRDefault="001717F7" w:rsidP="00171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b/>
          <w:bCs/>
          <w:i/>
          <w:iCs/>
          <w:color w:val="0E2F43"/>
          <w:sz w:val="28"/>
          <w:szCs w:val="28"/>
          <w:lang w:eastAsia="ru-RU"/>
        </w:rPr>
        <w:t>Пример:</w:t>
      </w: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«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Председатели ТОС населенных пунктов (по согласованию):</w:t>
      </w:r>
    </w:p>
    <w:p w:rsidR="001717F7" w:rsidRPr="001717F7" w:rsidRDefault="001717F7" w:rsidP="00171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lastRenderedPageBreak/>
        <w:t>- направляют материалы на </w:t>
      </w:r>
      <w:r w:rsidRPr="001717F7">
        <w:rPr>
          <w:rFonts w:ascii="Times New Roman" w:eastAsia="Times New Roman" w:hAnsi="Times New Roman" w:cs="Times New Roman"/>
          <w:b/>
          <w:color w:val="0E2F43"/>
          <w:sz w:val="28"/>
          <w:szCs w:val="28"/>
          <w:lang w:eastAsia="ru-RU"/>
        </w:rPr>
        <w:t>нерадивых</w:t>
      </w:r>
      <w:r w:rsidRPr="001717F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граждан</w:t>
      </w:r>
      <w:r w:rsidRPr="001717F7">
        <w:rPr>
          <w:rFonts w:ascii="Times New Roman" w:eastAsia="Times New Roman" w:hAnsi="Times New Roman" w:cs="Times New Roman"/>
          <w:i/>
          <w:iCs/>
          <w:color w:val="0E2F43"/>
          <w:sz w:val="28"/>
          <w:szCs w:val="28"/>
          <w:lang w:eastAsia="ru-RU"/>
        </w:rPr>
        <w:t>, нарушающих и игнорирующих наведение порядка возле своего жилища в администрацию города.</w:t>
      </w:r>
    </w:p>
    <w:p w:rsidR="001717F7" w:rsidRPr="001717F7" w:rsidRDefault="001717F7" w:rsidP="001717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7D" w:rsidRDefault="00492D7D">
      <w:bookmarkStart w:id="0" w:name="_GoBack"/>
      <w:bookmarkEnd w:id="0"/>
    </w:p>
    <w:sectPr w:rsidR="00492D7D" w:rsidSect="005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6"/>
    <w:rsid w:val="001717F7"/>
    <w:rsid w:val="003E7276"/>
    <w:rsid w:val="004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2019-12-23T04:50:00Z</dcterms:created>
  <dcterms:modified xsi:type="dcterms:W3CDTF">2019-12-23T04:50:00Z</dcterms:modified>
</cp:coreProperties>
</file>