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B3" w:rsidRPr="00AD2F7F" w:rsidRDefault="00CD7CB3" w:rsidP="00CD7C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2"/>
          <w:sz w:val="32"/>
          <w:szCs w:val="32"/>
          <w:lang w:eastAsia="ru-RU"/>
        </w:rPr>
      </w:pPr>
      <w:r w:rsidRPr="00AD2F7F">
        <w:rPr>
          <w:rFonts w:ascii="Times New Roman" w:eastAsia="Times New Roman" w:hAnsi="Times New Roman" w:cs="Times New Roman"/>
          <w:b/>
          <w:bCs/>
          <w:color w:val="000000"/>
          <w:spacing w:val="-22"/>
          <w:sz w:val="32"/>
          <w:szCs w:val="32"/>
          <w:lang w:eastAsia="ru-RU"/>
        </w:rPr>
        <w:t>Российская Федерация</w:t>
      </w:r>
    </w:p>
    <w:p w:rsidR="00CD7CB3" w:rsidRPr="00AD2F7F" w:rsidRDefault="00CD7CB3" w:rsidP="00CD7C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2"/>
          <w:sz w:val="32"/>
          <w:szCs w:val="32"/>
          <w:lang w:eastAsia="ru-RU"/>
        </w:rPr>
      </w:pPr>
      <w:r w:rsidRPr="00AD2F7F">
        <w:rPr>
          <w:rFonts w:ascii="Times New Roman" w:eastAsia="Times New Roman" w:hAnsi="Times New Roman" w:cs="Times New Roman"/>
          <w:b/>
          <w:color w:val="000000"/>
          <w:spacing w:val="-22"/>
          <w:sz w:val="32"/>
          <w:szCs w:val="32"/>
          <w:lang w:eastAsia="ru-RU"/>
        </w:rPr>
        <w:t>Иркутская область</w:t>
      </w:r>
    </w:p>
    <w:p w:rsidR="00CD7CB3" w:rsidRPr="00AD2F7F" w:rsidRDefault="00CD7CB3" w:rsidP="00CD7C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2"/>
          <w:sz w:val="32"/>
          <w:szCs w:val="32"/>
          <w:lang w:eastAsia="ru-RU"/>
        </w:rPr>
      </w:pPr>
      <w:r w:rsidRPr="00AD2F7F">
        <w:rPr>
          <w:rFonts w:ascii="Times New Roman" w:eastAsia="Times New Roman" w:hAnsi="Times New Roman" w:cs="Times New Roman"/>
          <w:b/>
          <w:color w:val="000000"/>
          <w:spacing w:val="-22"/>
          <w:sz w:val="32"/>
          <w:szCs w:val="32"/>
          <w:lang w:eastAsia="ru-RU"/>
        </w:rPr>
        <w:t xml:space="preserve">           Муниципальное образование «Эхирит-Булагатский район»</w:t>
      </w:r>
    </w:p>
    <w:p w:rsidR="00CD7CB3" w:rsidRPr="00AD2F7F" w:rsidRDefault="00CD7CB3" w:rsidP="00CD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CD7CB3" w:rsidRPr="00AD2F7F" w:rsidRDefault="00CD7CB3" w:rsidP="00CD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D2F7F">
        <w:rPr>
          <w:rFonts w:ascii="Times New Roman" w:eastAsia="Times New Roman" w:hAnsi="Times New Roman" w:cs="Times New Roman"/>
          <w:b/>
          <w:bCs/>
          <w:sz w:val="32"/>
          <w:szCs w:val="32"/>
        </w:rPr>
        <w:t>ДУМА</w:t>
      </w:r>
    </w:p>
    <w:p w:rsidR="00CD7CB3" w:rsidRPr="00AD2F7F" w:rsidRDefault="00CD7CB3" w:rsidP="00CD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D2F7F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РЕШЕНИЕ</w:t>
      </w:r>
    </w:p>
    <w:p w:rsidR="00CD7CB3" w:rsidRPr="00CD7CB3" w:rsidRDefault="00CD7CB3" w:rsidP="00CD7CB3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7"/>
      </w:tblGrid>
      <w:tr w:rsidR="00CD7CB3" w:rsidRPr="00CD7CB3" w:rsidTr="00A43F80">
        <w:trPr>
          <w:trHeight w:val="998"/>
        </w:trPr>
        <w:tc>
          <w:tcPr>
            <w:tcW w:w="4786" w:type="dxa"/>
          </w:tcPr>
          <w:p w:rsidR="00CD7CB3" w:rsidRPr="00CD7CB3" w:rsidRDefault="00CD7CB3" w:rsidP="00CD7CB3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before="307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D7C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 «</w:t>
            </w:r>
            <w:r w:rsidR="00AD2F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29» июня </w:t>
            </w:r>
            <w:r w:rsidRPr="00CD7C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</w:t>
            </w:r>
            <w:r w:rsidRPr="00CD7CB3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6</w:t>
            </w:r>
            <w:r w:rsidRPr="00CD7C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 № </w:t>
            </w:r>
            <w:r w:rsidR="00AD2F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130</w:t>
            </w:r>
          </w:p>
          <w:p w:rsidR="00CD7CB3" w:rsidRPr="00CD7CB3" w:rsidRDefault="00CD7CB3" w:rsidP="00CD7CB3">
            <w:pPr>
              <w:widowControl w:val="0"/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autoSpaceDE w:val="0"/>
              <w:autoSpaceDN w:val="0"/>
              <w:adjustRightInd w:val="0"/>
              <w:spacing w:before="307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7" w:type="dxa"/>
          </w:tcPr>
          <w:p w:rsidR="00CD7CB3" w:rsidRPr="00CD7CB3" w:rsidRDefault="00CD7CB3" w:rsidP="00CD7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ind w:left="542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CD7CB3" w:rsidRPr="00CD7CB3" w:rsidRDefault="00CD7CB3" w:rsidP="00CD7C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8" w:after="0" w:line="240" w:lineRule="auto"/>
              <w:ind w:left="54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7C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CD7C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CD7C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сть</w:t>
            </w:r>
            <w:proofErr w:type="spellEnd"/>
            <w:r w:rsidRPr="00CD7CB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-Ордынский</w:t>
            </w:r>
          </w:p>
        </w:tc>
      </w:tr>
    </w:tbl>
    <w:p w:rsidR="00CD7CB3" w:rsidRPr="00CD7CB3" w:rsidRDefault="00CD7CB3" w:rsidP="00CD7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CB3" w:rsidRPr="00CD7CB3" w:rsidRDefault="00CD7CB3" w:rsidP="00CD7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7CB3" w:rsidRPr="00CD7CB3" w:rsidRDefault="00CD7CB3" w:rsidP="00CD7CB3">
      <w:pPr>
        <w:tabs>
          <w:tab w:val="left" w:pos="4820"/>
        </w:tabs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CB3">
        <w:rPr>
          <w:rFonts w:ascii="Times New Roman" w:eastAsia="Times New Roman" w:hAnsi="Times New Roman" w:cs="Times New Roman"/>
          <w:sz w:val="28"/>
          <w:szCs w:val="28"/>
        </w:rPr>
        <w:t>«Информация «Об организации летней оздоровительной кампании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CB3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7CB3">
        <w:rPr>
          <w:rFonts w:ascii="Times New Roman" w:eastAsia="Times New Roman" w:hAnsi="Times New Roman" w:cs="Times New Roman"/>
          <w:sz w:val="28"/>
          <w:szCs w:val="28"/>
        </w:rPr>
        <w:t>«Эхирит-Булагатского района»</w:t>
      </w:r>
    </w:p>
    <w:p w:rsidR="00CD7CB3" w:rsidRPr="00CD7CB3" w:rsidRDefault="00CD7CB3" w:rsidP="00CD7CB3">
      <w:pPr>
        <w:spacing w:after="0" w:line="240" w:lineRule="auto"/>
        <w:ind w:right="4960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CD7CB3" w:rsidRPr="00CD7CB3" w:rsidRDefault="00CD7CB3" w:rsidP="00CD7CB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CD7CB3" w:rsidRPr="00CD7CB3" w:rsidRDefault="00CD7CB3" w:rsidP="00CD7CB3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CD7CB3" w:rsidRPr="00CD7CB3" w:rsidRDefault="00CD7CB3" w:rsidP="00CD7C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CB3"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начальника управления образования  муниципального образования «Эхирит-Булагатский район» </w:t>
      </w:r>
      <w:proofErr w:type="spellStart"/>
      <w:r w:rsidRPr="00CD7CB3">
        <w:rPr>
          <w:rFonts w:ascii="Times New Roman" w:eastAsia="Times New Roman" w:hAnsi="Times New Roman" w:cs="Times New Roman"/>
          <w:sz w:val="28"/>
          <w:szCs w:val="28"/>
        </w:rPr>
        <w:t>ХандархаеваА.И</w:t>
      </w:r>
      <w:proofErr w:type="spellEnd"/>
      <w:r w:rsidRPr="00CD7CB3">
        <w:rPr>
          <w:rFonts w:ascii="Times New Roman" w:eastAsia="Times New Roman" w:hAnsi="Times New Roman" w:cs="Times New Roman"/>
          <w:sz w:val="28"/>
          <w:szCs w:val="28"/>
        </w:rPr>
        <w:t>. «Об организации летней оздоровительной кампании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D7CB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Эхирит-Булагатского района»,  руководствуясь ст. 24 Устава муниципального образования «Эхирит-Булагатский район», Дума</w:t>
      </w:r>
    </w:p>
    <w:p w:rsidR="00CD7CB3" w:rsidRPr="00CD7CB3" w:rsidRDefault="00CD7CB3" w:rsidP="00CD7C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D7CB3" w:rsidRPr="00CD7CB3" w:rsidRDefault="00CD7CB3" w:rsidP="00CD7CB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7CB3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CD7CB3" w:rsidRPr="00CD7CB3" w:rsidRDefault="00CD7CB3" w:rsidP="00CD7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CB3">
        <w:rPr>
          <w:rFonts w:ascii="Times New Roman" w:eastAsia="Times New Roman" w:hAnsi="Times New Roman" w:cs="Times New Roman"/>
          <w:sz w:val="28"/>
          <w:szCs w:val="28"/>
        </w:rPr>
        <w:t>Информацию   «Об организации летней оздоровительной кампании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D7CB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Эхирит-Булагатского район»,  принять к сведению.</w:t>
      </w:r>
    </w:p>
    <w:p w:rsidR="00CD7CB3" w:rsidRPr="00CD7CB3" w:rsidRDefault="00CD7CB3" w:rsidP="00CD7CB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CB3" w:rsidRPr="00CD7CB3" w:rsidRDefault="00CD7CB3" w:rsidP="00CD7CB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CB3" w:rsidRDefault="00CD7CB3" w:rsidP="00CD7CB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9B4" w:rsidRDefault="00C439B4" w:rsidP="00CD7CB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9B4" w:rsidRDefault="00C439B4" w:rsidP="00CD7CB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9B4" w:rsidRDefault="00C439B4" w:rsidP="00CD7CB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439B4" w:rsidRPr="00CD7CB3" w:rsidRDefault="00C439B4" w:rsidP="00CD7CB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CB3" w:rsidRPr="00CD7CB3" w:rsidRDefault="00CD7CB3" w:rsidP="00CD7CB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7CB3" w:rsidRPr="00CD7CB3" w:rsidRDefault="00CD7CB3" w:rsidP="00CD7CB3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Думы                                                </w:t>
      </w:r>
      <w:r w:rsidR="00C439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CD7C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А.А. </w:t>
      </w:r>
      <w:proofErr w:type="spellStart"/>
      <w:r w:rsidRPr="00CD7CB3">
        <w:rPr>
          <w:rFonts w:ascii="Times New Roman" w:eastAsia="Times New Roman" w:hAnsi="Times New Roman" w:cs="Times New Roman"/>
          <w:color w:val="000000"/>
          <w:sz w:val="28"/>
          <w:szCs w:val="28"/>
        </w:rPr>
        <w:t>Тарнуев</w:t>
      </w:r>
      <w:proofErr w:type="spellEnd"/>
    </w:p>
    <w:p w:rsidR="00CD7CB3" w:rsidRPr="00CD7CB3" w:rsidRDefault="00CD7CB3" w:rsidP="00CD7CB3">
      <w:pPr>
        <w:shd w:val="clear" w:color="auto" w:fill="FFFFFF"/>
        <w:spacing w:after="0" w:line="240" w:lineRule="atLeast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CD7CB3" w:rsidRPr="00CD7CB3" w:rsidRDefault="00CD7CB3" w:rsidP="00CD7CB3">
      <w:pPr>
        <w:shd w:val="clear" w:color="auto" w:fill="FFFFFF"/>
        <w:spacing w:after="0" w:line="240" w:lineRule="atLeast"/>
        <w:ind w:left="48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</w:rPr>
      </w:pPr>
    </w:p>
    <w:p w:rsidR="005439FD" w:rsidRDefault="005439FD" w:rsidP="00CD7C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9FD" w:rsidRDefault="005439FD" w:rsidP="00CD7C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52C" w:rsidRDefault="00EC652C" w:rsidP="00CD7C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652C" w:rsidRPr="00EC652C" w:rsidRDefault="00EC652C" w:rsidP="00EC65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65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Об организации л</w:t>
      </w:r>
      <w:bookmarkStart w:id="0" w:name="_GoBack"/>
      <w:bookmarkEnd w:id="0"/>
      <w:r w:rsidRPr="00EC652C">
        <w:rPr>
          <w:rFonts w:ascii="Times New Roman" w:eastAsia="Calibri" w:hAnsi="Times New Roman" w:cs="Times New Roman"/>
          <w:b/>
          <w:sz w:val="28"/>
          <w:szCs w:val="28"/>
        </w:rPr>
        <w:t>етней оздоровительной кампании 2016</w:t>
      </w:r>
    </w:p>
    <w:p w:rsidR="00EC652C" w:rsidRPr="00EC652C" w:rsidRDefault="00EC652C" w:rsidP="00EC652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Организация отдыха, оздоровления, занятости детей и подростков – одно из приоритетных направлений государственной политики, проводимой в муниципальном образовании «Эхирит-Булагатский район» по обеспечению защиты прав, законных интересов детей и подростков.</w:t>
      </w:r>
    </w:p>
    <w:p w:rsidR="00EC652C" w:rsidRPr="00EC652C" w:rsidRDefault="00EC652C" w:rsidP="00EC652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Организация отдыха и оздоровления детей рассматривается как непременная составляющая государственной  социальной политики в отношении семьи и детей. На федеральном уровне предприняты шаги по совершенствованию нормативно-правового регулирования, создания условий для дальнейшего развития системы детского отдыха и оздоровления. Федеральный Закон от 21 декабря 2014 года №170 – ФЗ «О внесении изменений в Федеральный Закон «Об основных гарантиях прав ребенка в Российской Федерации» дает правовое определение сущности понятия «отдых детей и их оздоровление». Кроме этого закон поставил значимость проблемы детского отдыха и оздоровления в один ряд с проблемами образования, воспитания и развития. Существенным моментом, отраженном в указанном законе является положение, направленное на защиту прав детей на отдых и оздоровление, обязанности по обеспечению этих законных прав детей</w:t>
      </w:r>
      <w:proofErr w:type="gramStart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а также сохранению и развитию учреждений, деятельность которых направлена на отдых и оздоровление детей.</w:t>
      </w:r>
    </w:p>
    <w:p w:rsidR="00EC652C" w:rsidRPr="00EC652C" w:rsidRDefault="00EC652C" w:rsidP="00EC652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Постановлением мэра Эхирит-Булагатского района от 09.03.2016 года №164 «Об организации  отдыха, оздоровления и занятости детей в 2016 году» распределены сферы ответственности муниципальных комитетов, учреждений. </w:t>
      </w:r>
      <w:proofErr w:type="gramStart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На основании Постановления мэра в целях обеспечения отдыха, оздоровления детей и подростков, организации спортивно-массовой  и культурно-массовой работы, трудоустройства детей в летний период создана районная оздоровительная комиссия, на заседаниях которой определены функции учреждений и организаций, ответственных за организацию летнего оздоровительного отдыха, выделены приоритетные направления деятельности управления образования, комитетов культуры, по делам молодежи и спорту, здравоохранения, центра занятости. </w:t>
      </w:r>
      <w:proofErr w:type="gramEnd"/>
    </w:p>
    <w:p w:rsidR="00EC652C" w:rsidRPr="00EC652C" w:rsidRDefault="00EC652C" w:rsidP="00EC652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В организационный период управлением образования муниципального образования «Эхирит-Булагатский район»  проведены следующие мероприятия:</w:t>
      </w:r>
    </w:p>
    <w:p w:rsidR="00EC652C" w:rsidRPr="00EC652C" w:rsidRDefault="00EC652C" w:rsidP="00EC652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 25 апреля 2016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EC652C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EC652C">
        <w:rPr>
          <w:rFonts w:ascii="Times New Roman" w:eastAsia="Calibri" w:hAnsi="Times New Roman" w:cs="Times New Roman"/>
          <w:sz w:val="28"/>
          <w:szCs w:val="28"/>
        </w:rPr>
        <w:t>еминар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>-совещание руководителей, педагогов, работников и персонала летних оздоровительных площадок по теме «Организация летнего отдыха и оздоровления школьников»;</w:t>
      </w:r>
    </w:p>
    <w:p w:rsidR="00EC652C" w:rsidRPr="00EC652C" w:rsidRDefault="00EC652C" w:rsidP="00EC652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7 мая 2016 года семинар-консультацию для социальных педагогов по теме «Организация трудоустройства несовершеннолетних в летний период»;</w:t>
      </w:r>
    </w:p>
    <w:p w:rsidR="00EC652C" w:rsidRPr="00EC652C" w:rsidRDefault="00EC652C" w:rsidP="00EC652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7 мая 2016 года семинар для вожатых и воспитателей по теме «Воспитательная работа в летнем лагере»</w:t>
      </w:r>
    </w:p>
    <w:p w:rsidR="00EC652C" w:rsidRPr="00EC652C" w:rsidRDefault="00EC652C" w:rsidP="00EC652C">
      <w:pPr>
        <w:ind w:left="720"/>
        <w:jc w:val="both"/>
        <w:rPr>
          <w:rFonts w:ascii="Calibri" w:eastAsia="Calibri" w:hAnsi="Calibri" w:cs="Times New Roman"/>
          <w:b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На совещании по подготовке к летней оздоровительной кампании были освещены следующие вопросы:</w:t>
      </w:r>
      <w:r w:rsidRPr="00EC652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EC652C" w:rsidRPr="00EC652C" w:rsidRDefault="00EC652C" w:rsidP="00EC65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1.  «Об итогах летнего оздоровительного сезона -2015» (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Хандархаев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А.И., начальник управления образования МО «Эхирит-Булагатский район»)</w:t>
      </w:r>
    </w:p>
    <w:p w:rsidR="00EC652C" w:rsidRPr="00EC652C" w:rsidRDefault="00EC652C" w:rsidP="00EC65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2.   «Актуальные вопросы подготовки и приемки лагерей дневного пребывания к летнему оздоровительному сезону. Меры по обеспечению санитарн</w:t>
      </w:r>
      <w:proofErr w:type="gramStart"/>
      <w:r w:rsidRPr="00EC652C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эпидемиологического благополучия детей в лагерях дневного пребывания в период их работы» (Андриянова Т.А., главный специалист-эксперт ТОУ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Роспотребнадзор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по Иркутской области в Эхирит-Булагатском,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Баяндаевском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Боханском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Осинском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районах)</w:t>
      </w:r>
    </w:p>
    <w:p w:rsidR="00EC652C" w:rsidRPr="00EC652C" w:rsidRDefault="00EC652C" w:rsidP="00EC65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EC652C">
        <w:rPr>
          <w:rFonts w:ascii="Times New Roman" w:eastAsia="Calibri" w:hAnsi="Times New Roman" w:cs="Times New Roman"/>
          <w:sz w:val="28"/>
          <w:szCs w:val="28"/>
        </w:rPr>
        <w:t>«Гигиеническое воспитание сотрудников лагерей дневного пребывания»  (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Апханова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Е.П., заведующая отделом общей гигиены ФФБУЗ (Центр гигиены и эпидемиологии в Иркутской области по У-Обо»)</w:t>
      </w:r>
      <w:proofErr w:type="gramEnd"/>
    </w:p>
    <w:p w:rsidR="00EC652C" w:rsidRPr="00EC652C" w:rsidRDefault="00EC652C" w:rsidP="00EC65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4. «Соблюдение требований пожарной безопасности в лагерях дневного пребывания. Порядок исполнения государственных функций по надзору за соблюдением требований пожарной безопасности. Ответственность должностных лиц за соблюдением требований пожарной безопасности» (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Ертагаев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Николай Юрьевич, заместитель начальника отдела надзорной деятельности по У-Обо)</w:t>
      </w:r>
    </w:p>
    <w:p w:rsidR="00EC652C" w:rsidRPr="00EC652C" w:rsidRDefault="00EC652C" w:rsidP="00EC65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5. «Организация качественного питания» (Митюкова Г.Н. зав. столовой МОУ Усть-Ордынская СОШ №2)</w:t>
      </w:r>
    </w:p>
    <w:p w:rsidR="00EC652C" w:rsidRPr="00EC652C" w:rsidRDefault="00EC652C" w:rsidP="00EC65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6. «Актуальные вопросы медицинского сопровождения во время летней оздоровительной кампании» (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Контакова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Ирина Анатольевна, заведующая педиатрическим отделением Областная больница №2)</w:t>
      </w:r>
    </w:p>
    <w:p w:rsidR="00EC652C" w:rsidRPr="00EC652C" w:rsidRDefault="00EC652C" w:rsidP="00EC652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В период подготовки и проведения летнего отдыха и оздоровления  проводилась работа по обеспечению </w:t>
      </w:r>
      <w:proofErr w:type="gramStart"/>
      <w:r w:rsidRPr="00EC652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проведением летней оздоровительной кампании. По созданию полноценного отдыха школьников подготовлен и издан приказ по управлению образования №171 от 13 апреля 2016 года «Об организации отдыха, оздоровлении и занятости детей в 2016 году». Об усилении ответственности в загородном оздоровительном лагере «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Баяр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>» издан приказ  №246 от 23 июня 2016 г.</w:t>
      </w:r>
    </w:p>
    <w:p w:rsidR="00EC652C" w:rsidRPr="00EC652C" w:rsidRDefault="00EC652C" w:rsidP="00EC652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lastRenderedPageBreak/>
        <w:t>Финансирование мероприятий по оздоровительной кампании 2016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4"/>
        <w:gridCol w:w="7284"/>
        <w:gridCol w:w="1803"/>
      </w:tblGrid>
      <w:tr w:rsidR="00EC652C" w:rsidRPr="00EC652C" w:rsidTr="0095292E">
        <w:tc>
          <w:tcPr>
            <w:tcW w:w="4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03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Сумма, руб.</w:t>
            </w:r>
          </w:p>
        </w:tc>
      </w:tr>
      <w:tr w:rsidR="00EC652C" w:rsidRPr="00EC652C" w:rsidTr="0095292E">
        <w:tc>
          <w:tcPr>
            <w:tcW w:w="4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На приобретение продуктов питания на ЛДП</w:t>
            </w:r>
          </w:p>
        </w:tc>
        <w:tc>
          <w:tcPr>
            <w:tcW w:w="1803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3508200</w:t>
            </w:r>
          </w:p>
        </w:tc>
      </w:tr>
      <w:tr w:rsidR="00EC652C" w:rsidRPr="00EC652C" w:rsidTr="0095292E">
        <w:tc>
          <w:tcPr>
            <w:tcW w:w="4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В т.ч. Областной бюджет</w:t>
            </w:r>
          </w:p>
        </w:tc>
        <w:tc>
          <w:tcPr>
            <w:tcW w:w="1803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3157400</w:t>
            </w:r>
          </w:p>
        </w:tc>
      </w:tr>
      <w:tr w:rsidR="00EC652C" w:rsidRPr="00EC652C" w:rsidTr="0095292E">
        <w:tc>
          <w:tcPr>
            <w:tcW w:w="4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Местный бюджет</w:t>
            </w:r>
          </w:p>
        </w:tc>
        <w:tc>
          <w:tcPr>
            <w:tcW w:w="1803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350800</w:t>
            </w:r>
          </w:p>
        </w:tc>
      </w:tr>
      <w:tr w:rsidR="00EC652C" w:rsidRPr="00EC652C" w:rsidTr="0095292E">
        <w:tc>
          <w:tcPr>
            <w:tcW w:w="4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материально-технической базы ЛДП</w:t>
            </w:r>
          </w:p>
        </w:tc>
        <w:tc>
          <w:tcPr>
            <w:tcW w:w="1803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4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Укрепление материально-технической базы МОУ ДОЛ «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Баяр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3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264000</w:t>
            </w:r>
          </w:p>
        </w:tc>
      </w:tr>
      <w:tr w:rsidR="00EC652C" w:rsidRPr="00EC652C" w:rsidTr="0095292E">
        <w:tc>
          <w:tcPr>
            <w:tcW w:w="4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В т.ч. Областной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обюджет</w:t>
            </w:r>
            <w:proofErr w:type="spellEnd"/>
          </w:p>
        </w:tc>
        <w:tc>
          <w:tcPr>
            <w:tcW w:w="1803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240000</w:t>
            </w:r>
          </w:p>
        </w:tc>
      </w:tr>
      <w:tr w:rsidR="00EC652C" w:rsidRPr="00EC652C" w:rsidTr="0095292E">
        <w:tc>
          <w:tcPr>
            <w:tcW w:w="4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Местный бюджет</w:t>
            </w:r>
          </w:p>
        </w:tc>
        <w:tc>
          <w:tcPr>
            <w:tcW w:w="1803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24000</w:t>
            </w:r>
          </w:p>
        </w:tc>
      </w:tr>
      <w:tr w:rsidR="00EC652C" w:rsidRPr="00EC652C" w:rsidTr="0095292E">
        <w:tc>
          <w:tcPr>
            <w:tcW w:w="4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Продажа путевок МОУ ДОЛ «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Баяр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03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1762560</w:t>
            </w:r>
          </w:p>
        </w:tc>
      </w:tr>
      <w:tr w:rsidR="00EC652C" w:rsidRPr="00EC652C" w:rsidTr="0095292E">
        <w:tc>
          <w:tcPr>
            <w:tcW w:w="4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акарицидной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обработки территорий лагерей, дератизации, дезинсекции помещений, местный бюджет</w:t>
            </w:r>
          </w:p>
        </w:tc>
        <w:tc>
          <w:tcPr>
            <w:tcW w:w="1803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213305</w:t>
            </w:r>
          </w:p>
        </w:tc>
      </w:tr>
      <w:tr w:rsidR="00EC652C" w:rsidRPr="00EC652C" w:rsidTr="0095292E">
        <w:tc>
          <w:tcPr>
            <w:tcW w:w="4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Оплата медицинским работникам на ЛДП, местный бюджет</w:t>
            </w:r>
          </w:p>
        </w:tc>
        <w:tc>
          <w:tcPr>
            <w:tcW w:w="1803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4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ИТОГО</w:t>
            </w:r>
          </w:p>
        </w:tc>
        <w:tc>
          <w:tcPr>
            <w:tcW w:w="1803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5748065,26</w:t>
            </w:r>
          </w:p>
        </w:tc>
      </w:tr>
      <w:tr w:rsidR="00EC652C" w:rsidRPr="00EC652C" w:rsidTr="0095292E">
        <w:tc>
          <w:tcPr>
            <w:tcW w:w="4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В т.ч. Областной бюджет</w:t>
            </w:r>
          </w:p>
        </w:tc>
        <w:tc>
          <w:tcPr>
            <w:tcW w:w="1803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3397400</w:t>
            </w:r>
          </w:p>
        </w:tc>
      </w:tr>
      <w:tr w:rsidR="00EC652C" w:rsidRPr="00EC652C" w:rsidTr="0095292E">
        <w:tc>
          <w:tcPr>
            <w:tcW w:w="4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4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В т.ч. Местный бюджет</w:t>
            </w:r>
          </w:p>
        </w:tc>
        <w:tc>
          <w:tcPr>
            <w:tcW w:w="1803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588105</w:t>
            </w:r>
          </w:p>
        </w:tc>
      </w:tr>
    </w:tbl>
    <w:p w:rsidR="00EC652C" w:rsidRPr="00EC652C" w:rsidRDefault="00EC652C" w:rsidP="00EC652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52C" w:rsidRPr="00EC652C" w:rsidRDefault="00EC652C" w:rsidP="00EC652C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В летний период 2016 года   функционировало 23 оздоровительных лагерей дневного пребывания на базе общеобразовательных школ с охватом 2107 детей по следующим образовательным программам: 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МОУ Усть-Ордынская СОШ №1 – ОП «Солнышко»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МОУ Усть-Ордынская СОШ №2 – ОП «Непоседы»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МОУ Усть-Ордынская СОШ №4 – ОП «Солнышко»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Ахинская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СОШ - ОП «Солнышко»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Байтогская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СОШ </w:t>
      </w:r>
      <w:proofErr w:type="gramStart"/>
      <w:r w:rsidRPr="00EC652C">
        <w:rPr>
          <w:rFonts w:ascii="Times New Roman" w:eastAsia="Calibri" w:hAnsi="Times New Roman" w:cs="Times New Roman"/>
          <w:sz w:val="28"/>
          <w:szCs w:val="28"/>
        </w:rPr>
        <w:t>–О</w:t>
      </w:r>
      <w:proofErr w:type="gramEnd"/>
      <w:r w:rsidRPr="00EC652C">
        <w:rPr>
          <w:rFonts w:ascii="Times New Roman" w:eastAsia="Calibri" w:hAnsi="Times New Roman" w:cs="Times New Roman"/>
          <w:sz w:val="28"/>
          <w:szCs w:val="28"/>
        </w:rPr>
        <w:t>П «Солнышко»»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Бозойская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СОШ – ОП «Сороконожка»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МОУ Булусинская СОШ – ОП «Солнышко»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Гаханская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СОШ – ОП «Ура! Каникулы»»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Захальская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СОШ – ОП «Радуга»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Идыгинская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СОШ – ОП «Цветное настроение»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Корсукская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СОШ – ОП «Радуга»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Капсальская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СОШ – ОП «Солнышко»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МОУ Ново-Николаевская СОШ – ОП «Растишка»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Олойская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СОШ  - ОП «Аистенок»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Тугутуйская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СОШ – ОП «Солнышко»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Харазаргайская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СОШ – ОП «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Наран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 (солнышко)»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Харатская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СОШ – ОП «Солнышко»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gramStart"/>
      <w:r w:rsidRPr="00EC652C">
        <w:rPr>
          <w:rFonts w:ascii="Times New Roman" w:eastAsia="Calibri" w:hAnsi="Times New Roman" w:cs="Times New Roman"/>
          <w:sz w:val="28"/>
          <w:szCs w:val="28"/>
        </w:rPr>
        <w:t>Хабаровская</w:t>
      </w:r>
      <w:proofErr w:type="gram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ООШ – ОП «Солнышко»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МОУ Усть-Ордынская НОШ – ОП «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Сибирячок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МОУ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Еловская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НОШ – детский сад – ОП «Солнышко»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Захальская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C652C">
        <w:rPr>
          <w:rFonts w:ascii="Times New Roman" w:eastAsia="Calibri" w:hAnsi="Times New Roman" w:cs="Times New Roman"/>
          <w:sz w:val="28"/>
          <w:szCs w:val="28"/>
        </w:rPr>
        <w:t>НОШ-детский</w:t>
      </w:r>
      <w:proofErr w:type="gram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сад – ОП «Солнышко»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МОУ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Куядская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НОШ – детский сад – ОП «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Здравушка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C652C" w:rsidRPr="00EC652C" w:rsidRDefault="00EC652C" w:rsidP="00EC652C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МОУ Кулункунская НОШ – ОП «Солнышко»</w:t>
      </w:r>
    </w:p>
    <w:p w:rsidR="00EC652C" w:rsidRPr="00EC652C" w:rsidRDefault="00EC652C" w:rsidP="00EC652C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Всего в лагерях дневного пребывания оздоровилось 2107 детей образовательных учреждений МО «Эхирит-Булагатский район»  в соответствии с планом оздоровления в летний период 2016 г.</w:t>
      </w:r>
      <w:r w:rsidRPr="00EC652C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2"/>
        <w:gridCol w:w="2284"/>
        <w:gridCol w:w="1763"/>
        <w:gridCol w:w="1561"/>
        <w:gridCol w:w="1763"/>
        <w:gridCol w:w="1932"/>
      </w:tblGrid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оздоровительного учреждения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количество сезонов в период работы ЛДП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детей в ЛДП (по сезонам) 2015 г.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Планируемое количество детей в ЛДП (по сезонам) 2016 г.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МОУ Усть-Ордынская СОШ №1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C65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МОУ Усть-Ордынская СОШ №2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EC65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МОУ Усть-Ордынская СОШ №4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C65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Ахинская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Алужинская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Байтогская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Бозойская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МОУ Булусинская СОШ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5</w:t>
            </w: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Гаханская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C65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Захальская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70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Идыгинская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Корсукская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EC65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1+31 = 142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31</w:t>
            </w: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</w:t>
            </w:r>
            <w:r w:rsidRPr="00EC65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Харанут</w:t>
            </w: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Капсальская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МОУ Ново-Николаевская СОШ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 55+30= 85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 ЛДП, при СОШ и при структурном подразделении</w:t>
            </w: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Олойская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Тугутуйская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155</w:t>
            </w:r>
            <w:r w:rsidRPr="00EC65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+20 = 175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20 </w:t>
            </w: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детей Алужино</w:t>
            </w: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Харазаргайская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52+ 28 = 80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 ЛДП, при СОШ и при структурном подразделении</w:t>
            </w: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Харатская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Харанутская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МОУ Хабаровская ООШ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МОУ Усть-Ордынская НОШ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Еловская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НОШ-детский</w:t>
            </w:r>
            <w:proofErr w:type="gram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Захальская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НОШ-детский</w:t>
            </w:r>
            <w:proofErr w:type="gram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proofErr w:type="spell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Куядская</w:t>
            </w:r>
            <w:proofErr w:type="spell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НОШ-детский</w:t>
            </w:r>
            <w:proofErr w:type="gramEnd"/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сад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МОУ Кулункунская НОШ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C652C" w:rsidRPr="00EC652C" w:rsidTr="0095292E">
        <w:tc>
          <w:tcPr>
            <w:tcW w:w="392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C65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EC652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2107</w:t>
            </w:r>
          </w:p>
        </w:tc>
        <w:tc>
          <w:tcPr>
            <w:tcW w:w="1595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65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2107</w:t>
            </w:r>
          </w:p>
        </w:tc>
        <w:tc>
          <w:tcPr>
            <w:tcW w:w="1596" w:type="dxa"/>
          </w:tcPr>
          <w:p w:rsidR="00EC652C" w:rsidRPr="00EC652C" w:rsidRDefault="00EC652C" w:rsidP="00EC652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C652C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EC652C" w:rsidRPr="00EC652C" w:rsidRDefault="00EC652C" w:rsidP="00EC652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С 21 июня в 2 смены по 80 детей  будут оздоровлены  дети в летнем оздоровительном лагере «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Баяр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>». На базе лагеря «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Баяр</w:t>
      </w:r>
      <w:proofErr w:type="spell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» будет реализована образовательная программа «Солнышко».  </w:t>
      </w:r>
    </w:p>
    <w:p w:rsidR="00EC652C" w:rsidRPr="00EC652C" w:rsidRDefault="00EC652C" w:rsidP="00EC652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lastRenderedPageBreak/>
        <w:t>Лагеря дневного пребывания  работали согласно утвержденным воспитательным программам  и планам с 3-разовым питанием. Сумма на одного ребенка составила 111 рублей</w:t>
      </w:r>
      <w:proofErr w:type="gramStart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На реализацию летнего оздоровления-2015  выделено из областного бюджета 3 157 340 рублей, из местного – 350 815 рублей.</w:t>
      </w:r>
    </w:p>
    <w:p w:rsidR="00EC652C" w:rsidRPr="00EC652C" w:rsidRDefault="00EC652C" w:rsidP="00EC652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Наибольшую ценность в деятельности лагерей с дневным пребыванием приобретает вариативно-программный подход. Педагогические коллективы лагерей  до начала смены   разработали комплекс интересных программ, личностно-значимых для детей и педагогов. Все смены   были построены в игровой программной среде. В результате реализации таких программ  произошло  улучшение физического и психологического состояния ребенка, расширился круг его общения со сверстниками и взрослыми.   Оценка эффективности оздоровления  проводилась  в соответствии методических рекомендаций «Оценка эффективности оздоровления детей и подростков в летних оздоровительных учреждениях», на основании показателей, характеризующих рост и массу тела в начале и конце смены, а также учитываться данные заболеваемости детей в ЛОУ.   </w:t>
      </w:r>
    </w:p>
    <w:p w:rsidR="00EC652C" w:rsidRPr="00EC652C" w:rsidRDefault="00EC652C" w:rsidP="00EC652C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652C">
        <w:rPr>
          <w:rFonts w:ascii="Times New Roman" w:eastAsia="Calibri" w:hAnsi="Times New Roman" w:cs="Times New Roman"/>
          <w:sz w:val="28"/>
          <w:szCs w:val="28"/>
        </w:rPr>
        <w:t>Один из актуальных вопросов в каникулярное время является занятость детей. Трудовая занятость несовершеннолетних – это трудовая деятельность, имеющая социально полезную направленность и организуемая в качестве дополнительной социальной поддержки семей, в том числе многодетных и малообеспеченных семей. Организация занятости несовершеннолетних дает возможность решать социально важные проблемы</w:t>
      </w:r>
      <w:proofErr w:type="gramStart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EC652C">
        <w:rPr>
          <w:rFonts w:ascii="Times New Roman" w:eastAsia="Calibri" w:hAnsi="Times New Roman" w:cs="Times New Roman"/>
          <w:sz w:val="28"/>
          <w:szCs w:val="28"/>
        </w:rPr>
        <w:t xml:space="preserve">  Трудовой занятостью в 2016 году будут охвачены 191 несовершеннолетний. Основными видами работ, которые должны выполняться несовершеннолетними гражданами в период трудоустройства являются – сезонная помощь при проведении сельскохозяйственных работ ( пришкольные участки: выборка рассады, подготовка почвы, посадка рассады, возделывание и уборка урожая различных культур, уничтожение сорняков, сортировка овощей, укладка овощей на хранение и </w:t>
      </w:r>
      <w:proofErr w:type="spellStart"/>
      <w:r w:rsidRPr="00EC652C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EC652C">
        <w:rPr>
          <w:rFonts w:ascii="Times New Roman" w:eastAsia="Calibri" w:hAnsi="Times New Roman" w:cs="Times New Roman"/>
          <w:sz w:val="28"/>
          <w:szCs w:val="28"/>
        </w:rPr>
        <w:t>.д</w:t>
      </w:r>
      <w:proofErr w:type="spellEnd"/>
      <w:proofErr w:type="gramEnd"/>
      <w:r w:rsidRPr="00EC652C">
        <w:rPr>
          <w:rFonts w:ascii="Times New Roman" w:eastAsia="Calibri" w:hAnsi="Times New Roman" w:cs="Times New Roman"/>
          <w:sz w:val="28"/>
          <w:szCs w:val="28"/>
        </w:rPr>
        <w:t>), озеленение территорий образовательных учреждений, уборка мусора, мелкий ремонт библиотечного фонда, выполнение подсобных работ.</w:t>
      </w:r>
    </w:p>
    <w:p w:rsidR="00EC652C" w:rsidRPr="00EC652C" w:rsidRDefault="00EC652C" w:rsidP="00EC652C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52C" w:rsidRPr="00EC652C" w:rsidRDefault="00EC652C" w:rsidP="00EC652C">
      <w:pPr>
        <w:rPr>
          <w:rFonts w:ascii="Calibri" w:eastAsia="Calibri" w:hAnsi="Calibri" w:cs="Times New Roman"/>
        </w:rPr>
      </w:pPr>
    </w:p>
    <w:p w:rsidR="00EC652C" w:rsidRDefault="00EC652C" w:rsidP="00CD7C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39FD" w:rsidRPr="00CD7CB3" w:rsidRDefault="005439FD" w:rsidP="00CD7CB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439FD" w:rsidRPr="00CD7CB3" w:rsidSect="005439FD">
      <w:pgSz w:w="11907" w:h="16840" w:code="9"/>
      <w:pgMar w:top="1134" w:right="850" w:bottom="567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424F7"/>
    <w:multiLevelType w:val="hybridMultilevel"/>
    <w:tmpl w:val="11D69C36"/>
    <w:lvl w:ilvl="0" w:tplc="0D16806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FE7AB8"/>
    <w:multiLevelType w:val="hybridMultilevel"/>
    <w:tmpl w:val="37369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B3"/>
    <w:rsid w:val="005439FD"/>
    <w:rsid w:val="00AD2F7F"/>
    <w:rsid w:val="00C439B4"/>
    <w:rsid w:val="00CD5EF5"/>
    <w:rsid w:val="00CD7CB3"/>
    <w:rsid w:val="00EC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D7CB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EC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D7CB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EC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5</cp:revision>
  <cp:lastPrinted>2016-06-30T04:45:00Z</cp:lastPrinted>
  <dcterms:created xsi:type="dcterms:W3CDTF">2016-06-20T02:35:00Z</dcterms:created>
  <dcterms:modified xsi:type="dcterms:W3CDTF">2016-06-30T06:36:00Z</dcterms:modified>
</cp:coreProperties>
</file>